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3" w14:textId="6D25AB06" w:rsidR="00E610A8" w:rsidRDefault="00FA0EF8">
      <w:pPr>
        <w:jc w:val="both"/>
        <w:rPr>
          <w:rFonts w:asciiTheme="majorHAnsi" w:hAnsiTheme="majorHAnsi" w:cstheme="majorHAnsi"/>
          <w:b/>
          <w:bCs/>
          <w:sz w:val="24"/>
          <w:szCs w:val="24"/>
        </w:rPr>
      </w:pPr>
      <w:bookmarkStart w:id="0" w:name="_GoBack"/>
      <w:r>
        <w:rPr>
          <w:rFonts w:asciiTheme="majorHAnsi" w:hAnsiTheme="majorHAnsi" w:cstheme="majorHAnsi"/>
          <w:b/>
          <w:bCs/>
          <w:sz w:val="24"/>
          <w:szCs w:val="24"/>
        </w:rPr>
        <w:t>HÜDA PAR: F</w:t>
      </w:r>
      <w:r w:rsidRPr="00C22F7C">
        <w:rPr>
          <w:rFonts w:asciiTheme="majorHAnsi" w:hAnsiTheme="majorHAnsi" w:cstheme="majorHAnsi"/>
          <w:b/>
          <w:bCs/>
          <w:sz w:val="24"/>
          <w:szCs w:val="24"/>
        </w:rPr>
        <w:t>on krizi bütün yönleriyle araştırılmalıdır</w:t>
      </w:r>
    </w:p>
    <w:bookmarkEnd w:id="0"/>
    <w:p w14:paraId="5DC2D0F4" w14:textId="084FB23A" w:rsidR="00FA0EF8" w:rsidRDefault="00934214">
      <w:pPr>
        <w:jc w:val="both"/>
        <w:rPr>
          <w:rFonts w:asciiTheme="majorHAnsi" w:hAnsiTheme="majorHAnsi" w:cstheme="majorHAnsi"/>
          <w:b/>
          <w:bCs/>
          <w:sz w:val="24"/>
          <w:szCs w:val="24"/>
        </w:rPr>
      </w:pPr>
      <w:r>
        <w:rPr>
          <w:rFonts w:asciiTheme="majorHAnsi" w:hAnsiTheme="majorHAnsi" w:cstheme="majorHAnsi"/>
          <w:b/>
          <w:bCs/>
          <w:sz w:val="24"/>
          <w:szCs w:val="24"/>
        </w:rPr>
        <w:t xml:space="preserve">HÜDA </w:t>
      </w:r>
      <w:proofErr w:type="spellStart"/>
      <w:r>
        <w:rPr>
          <w:rFonts w:asciiTheme="majorHAnsi" w:hAnsiTheme="majorHAnsi" w:cstheme="majorHAnsi"/>
          <w:b/>
          <w:bCs/>
          <w:sz w:val="24"/>
          <w:szCs w:val="24"/>
        </w:rPr>
        <w:t>PAR’dan</w:t>
      </w:r>
      <w:proofErr w:type="spellEnd"/>
      <w:r>
        <w:rPr>
          <w:rFonts w:asciiTheme="majorHAnsi" w:hAnsiTheme="majorHAnsi" w:cstheme="majorHAnsi"/>
          <w:b/>
          <w:bCs/>
          <w:sz w:val="24"/>
          <w:szCs w:val="24"/>
        </w:rPr>
        <w:t xml:space="preserve"> yapılan açıklamada, s</w:t>
      </w:r>
      <w:r w:rsidR="00FA0EF8" w:rsidRPr="00FA0EF8">
        <w:rPr>
          <w:rFonts w:asciiTheme="majorHAnsi" w:hAnsiTheme="majorHAnsi" w:cstheme="majorHAnsi"/>
          <w:b/>
          <w:bCs/>
          <w:sz w:val="24"/>
          <w:szCs w:val="24"/>
        </w:rPr>
        <w:t xml:space="preserve">on dönemde yaşanan fon krizinin yalnızca teknik bir </w:t>
      </w:r>
      <w:r>
        <w:rPr>
          <w:rFonts w:asciiTheme="majorHAnsi" w:hAnsiTheme="majorHAnsi" w:cstheme="majorHAnsi"/>
          <w:b/>
          <w:bCs/>
          <w:sz w:val="24"/>
          <w:szCs w:val="24"/>
        </w:rPr>
        <w:t>mesele</w:t>
      </w:r>
      <w:r w:rsidR="00FA0EF8" w:rsidRPr="00FA0EF8">
        <w:rPr>
          <w:rFonts w:asciiTheme="majorHAnsi" w:hAnsiTheme="majorHAnsi" w:cstheme="majorHAnsi"/>
          <w:b/>
          <w:bCs/>
          <w:sz w:val="24"/>
          <w:szCs w:val="24"/>
        </w:rPr>
        <w:t xml:space="preserve"> </w:t>
      </w:r>
      <w:r w:rsidR="00FA0EF8">
        <w:rPr>
          <w:rFonts w:asciiTheme="majorHAnsi" w:hAnsiTheme="majorHAnsi" w:cstheme="majorHAnsi"/>
          <w:b/>
          <w:bCs/>
          <w:sz w:val="24"/>
          <w:szCs w:val="24"/>
        </w:rPr>
        <w:t>olmadığını,</w:t>
      </w:r>
      <w:r w:rsidR="00FA0EF8" w:rsidRPr="00FA0EF8">
        <w:rPr>
          <w:rFonts w:asciiTheme="majorHAnsi" w:hAnsiTheme="majorHAnsi" w:cstheme="majorHAnsi"/>
          <w:b/>
          <w:bCs/>
          <w:sz w:val="24"/>
          <w:szCs w:val="24"/>
        </w:rPr>
        <w:t xml:space="preserve"> binlerce kişinin birikimini ilgilendire</w:t>
      </w:r>
      <w:r>
        <w:rPr>
          <w:rFonts w:asciiTheme="majorHAnsi" w:hAnsiTheme="majorHAnsi" w:cstheme="majorHAnsi"/>
          <w:b/>
          <w:bCs/>
          <w:sz w:val="24"/>
          <w:szCs w:val="24"/>
        </w:rPr>
        <w:t>n derin bir güven krizi olduğu</w:t>
      </w:r>
      <w:r w:rsidR="00FA0EF8" w:rsidRPr="00FA0EF8">
        <w:rPr>
          <w:rFonts w:asciiTheme="majorHAnsi" w:hAnsiTheme="majorHAnsi" w:cstheme="majorHAnsi"/>
          <w:b/>
          <w:bCs/>
          <w:sz w:val="24"/>
          <w:szCs w:val="24"/>
        </w:rPr>
        <w:t xml:space="preserve"> </w:t>
      </w:r>
      <w:r>
        <w:rPr>
          <w:rFonts w:asciiTheme="majorHAnsi" w:hAnsiTheme="majorHAnsi" w:cstheme="majorHAnsi"/>
          <w:b/>
          <w:bCs/>
          <w:sz w:val="24"/>
          <w:szCs w:val="24"/>
        </w:rPr>
        <w:t>vurgulanarak</w:t>
      </w:r>
      <w:r w:rsidR="00FA0EF8">
        <w:rPr>
          <w:rFonts w:asciiTheme="majorHAnsi" w:hAnsiTheme="majorHAnsi" w:cstheme="majorHAnsi"/>
          <w:b/>
          <w:bCs/>
          <w:sz w:val="24"/>
          <w:szCs w:val="24"/>
        </w:rPr>
        <w:t xml:space="preserve"> </w:t>
      </w:r>
      <w:r w:rsidR="00FA0EF8" w:rsidRPr="00FA0EF8">
        <w:rPr>
          <w:rFonts w:asciiTheme="majorHAnsi" w:hAnsiTheme="majorHAnsi" w:cstheme="majorHAnsi"/>
          <w:b/>
          <w:bCs/>
          <w:sz w:val="24"/>
          <w:szCs w:val="24"/>
        </w:rPr>
        <w:t>denetim zafiyetlerinin sorgulanması ve mağduriyetlerin</w:t>
      </w:r>
      <w:r>
        <w:rPr>
          <w:rFonts w:asciiTheme="majorHAnsi" w:hAnsiTheme="majorHAnsi" w:cstheme="majorHAnsi"/>
          <w:b/>
          <w:bCs/>
          <w:sz w:val="24"/>
          <w:szCs w:val="24"/>
        </w:rPr>
        <w:t xml:space="preserve"> giderilmesi çağrısında bulunuldu.</w:t>
      </w:r>
    </w:p>
    <w:p w14:paraId="7E05D28F" w14:textId="6FE48B4D" w:rsidR="00054195" w:rsidRPr="00054195" w:rsidRDefault="00FA0EF8" w:rsidP="00FA0EF8">
      <w:pPr>
        <w:jc w:val="both"/>
        <w:rPr>
          <w:rFonts w:asciiTheme="majorHAnsi" w:hAnsiTheme="majorHAnsi" w:cstheme="majorHAnsi"/>
          <w:bCs/>
          <w:sz w:val="24"/>
          <w:szCs w:val="24"/>
        </w:rPr>
      </w:pPr>
      <w:r w:rsidRPr="00FA0EF8">
        <w:rPr>
          <w:rFonts w:asciiTheme="majorHAnsi" w:hAnsiTheme="majorHAnsi" w:cstheme="majorHAnsi"/>
          <w:sz w:val="24"/>
          <w:szCs w:val="24"/>
        </w:rPr>
        <w:t xml:space="preserve">HÜDA PAR Genel Merkezi tarafından yayımlanan haftalık gündem değerlendirmesinde, </w:t>
      </w:r>
      <w:r w:rsidRPr="00FA0EF8">
        <w:rPr>
          <w:rFonts w:asciiTheme="majorHAnsi" w:hAnsiTheme="majorHAnsi" w:cstheme="majorHAnsi"/>
          <w:sz w:val="24"/>
          <w:szCs w:val="24"/>
          <w:lang w:val="tr-TR"/>
        </w:rPr>
        <w:t>kamuoyunda geniş yankı uyandıran fon krizine ilişkin d</w:t>
      </w:r>
      <w:r w:rsidR="00934214">
        <w:rPr>
          <w:rFonts w:asciiTheme="majorHAnsi" w:hAnsiTheme="majorHAnsi" w:cstheme="majorHAnsi"/>
          <w:sz w:val="24"/>
          <w:szCs w:val="24"/>
          <w:lang w:val="tr-TR"/>
        </w:rPr>
        <w:t>ikkat çeken bir açıklama yapıldı.</w:t>
      </w:r>
      <w:r w:rsidR="00054195">
        <w:rPr>
          <w:rFonts w:asciiTheme="majorHAnsi" w:hAnsiTheme="majorHAnsi" w:cstheme="majorHAnsi"/>
          <w:sz w:val="24"/>
          <w:szCs w:val="24"/>
          <w:lang w:val="tr-TR"/>
        </w:rPr>
        <w:t xml:space="preserve"> </w:t>
      </w:r>
      <w:r w:rsidR="00054195" w:rsidRPr="00054195">
        <w:rPr>
          <w:rFonts w:asciiTheme="majorHAnsi" w:hAnsiTheme="majorHAnsi" w:cstheme="majorHAnsi"/>
          <w:sz w:val="24"/>
          <w:szCs w:val="24"/>
          <w:lang w:val="tr-TR"/>
        </w:rPr>
        <w:t>Açıklamada ayrıca üniversite hastanelerindeki eş durumu mağduriyetine ve ekranlar ile dijital mecralardaki yayınların aile yapısına verdiği zarara da değinildi</w:t>
      </w:r>
      <w:r w:rsidR="00054195">
        <w:rPr>
          <w:rFonts w:asciiTheme="majorHAnsi" w:hAnsiTheme="majorHAnsi" w:cstheme="majorHAnsi"/>
          <w:sz w:val="24"/>
          <w:szCs w:val="24"/>
          <w:lang w:val="tr-TR"/>
        </w:rPr>
        <w:t>.</w:t>
      </w:r>
    </w:p>
    <w:p w14:paraId="7A40DF40" w14:textId="406BA14C" w:rsidR="00FA0EF8" w:rsidRPr="00FA0EF8" w:rsidRDefault="00054195" w:rsidP="00FA0EF8">
      <w:pPr>
        <w:jc w:val="both"/>
        <w:rPr>
          <w:rFonts w:asciiTheme="majorHAnsi" w:hAnsiTheme="majorHAnsi" w:cstheme="majorHAnsi"/>
          <w:b/>
          <w:bCs/>
          <w:sz w:val="24"/>
          <w:szCs w:val="24"/>
          <w:lang w:val="tr-TR"/>
        </w:rPr>
      </w:pPr>
      <w:r w:rsidRPr="00FA0EF8">
        <w:rPr>
          <w:rFonts w:asciiTheme="majorHAnsi" w:hAnsiTheme="majorHAnsi" w:cstheme="majorHAnsi"/>
          <w:b/>
          <w:bCs/>
          <w:sz w:val="24"/>
          <w:szCs w:val="24"/>
        </w:rPr>
        <w:t xml:space="preserve"> </w:t>
      </w:r>
      <w:r w:rsidR="00FA0EF8" w:rsidRPr="00FA0EF8">
        <w:rPr>
          <w:rFonts w:asciiTheme="majorHAnsi" w:hAnsiTheme="majorHAnsi" w:cstheme="majorHAnsi"/>
          <w:b/>
          <w:bCs/>
          <w:sz w:val="24"/>
          <w:szCs w:val="24"/>
        </w:rPr>
        <w:t>“Sorumlulukların kimlere ait olduğu bütün yönleriyle ortaya çıkarılmalıdır”</w:t>
      </w:r>
      <w:r w:rsidR="00FA0EF8" w:rsidRPr="00FA0EF8">
        <w:rPr>
          <w:rFonts w:asciiTheme="majorHAnsi" w:hAnsiTheme="majorHAnsi" w:cstheme="majorHAnsi"/>
          <w:b/>
          <w:bCs/>
          <w:sz w:val="24"/>
          <w:szCs w:val="24"/>
          <w:lang w:val="tr-TR"/>
        </w:rPr>
        <w:t xml:space="preserve"> </w:t>
      </w:r>
    </w:p>
    <w:p w14:paraId="5B1BCAD2" w14:textId="5991A300" w:rsidR="00FA0EF8" w:rsidRPr="00FA0EF8" w:rsidRDefault="00054195" w:rsidP="00FA0EF8">
      <w:pPr>
        <w:jc w:val="both"/>
        <w:rPr>
          <w:rFonts w:asciiTheme="majorHAnsi" w:hAnsiTheme="majorHAnsi" w:cstheme="majorHAnsi"/>
          <w:sz w:val="24"/>
          <w:szCs w:val="24"/>
          <w:lang w:val="tr-TR"/>
        </w:rPr>
      </w:pPr>
      <w:r>
        <w:rPr>
          <w:rFonts w:asciiTheme="majorHAnsi" w:hAnsiTheme="majorHAnsi" w:cstheme="majorHAnsi"/>
          <w:sz w:val="24"/>
          <w:szCs w:val="24"/>
          <w:lang w:val="tr-TR"/>
        </w:rPr>
        <w:t>Y</w:t>
      </w:r>
      <w:r w:rsidR="00FA0EF8" w:rsidRPr="00FA0EF8">
        <w:rPr>
          <w:rFonts w:asciiTheme="majorHAnsi" w:hAnsiTheme="majorHAnsi" w:cstheme="majorHAnsi"/>
          <w:sz w:val="24"/>
          <w:szCs w:val="24"/>
          <w:lang w:val="tr-TR"/>
        </w:rPr>
        <w:t xml:space="preserve">aşanan krizin </w:t>
      </w:r>
      <w:r w:rsidRPr="00FA0EF8">
        <w:rPr>
          <w:rFonts w:asciiTheme="majorHAnsi" w:hAnsiTheme="majorHAnsi" w:cstheme="majorHAnsi"/>
          <w:sz w:val="24"/>
          <w:szCs w:val="24"/>
          <w:lang w:val="tr-TR"/>
        </w:rPr>
        <w:t>çok yönlü bir</w:t>
      </w:r>
      <w:r>
        <w:rPr>
          <w:rFonts w:asciiTheme="majorHAnsi" w:hAnsiTheme="majorHAnsi" w:cstheme="majorHAnsi"/>
          <w:sz w:val="24"/>
          <w:szCs w:val="24"/>
          <w:lang w:val="tr-TR"/>
        </w:rPr>
        <w:t xml:space="preserve"> güven meselesi haline geldiği</w:t>
      </w:r>
      <w:r w:rsidRPr="00FA0EF8">
        <w:rPr>
          <w:rFonts w:asciiTheme="majorHAnsi" w:hAnsiTheme="majorHAnsi" w:cstheme="majorHAnsi"/>
          <w:sz w:val="24"/>
          <w:szCs w:val="24"/>
          <w:lang w:val="tr-TR"/>
        </w:rPr>
        <w:t xml:space="preserve"> ifade ed</w:t>
      </w:r>
      <w:r>
        <w:rPr>
          <w:rFonts w:asciiTheme="majorHAnsi" w:hAnsiTheme="majorHAnsi" w:cstheme="majorHAnsi"/>
          <w:sz w:val="24"/>
          <w:szCs w:val="24"/>
          <w:lang w:val="tr-TR"/>
        </w:rPr>
        <w:t>ilen değerlendirmede</w:t>
      </w:r>
      <w:r>
        <w:rPr>
          <w:rFonts w:asciiTheme="majorHAnsi" w:hAnsiTheme="majorHAnsi" w:cstheme="majorHAnsi"/>
          <w:sz w:val="24"/>
          <w:szCs w:val="24"/>
          <w:lang w:val="tr-TR"/>
        </w:rPr>
        <w:t xml:space="preserve">,  </w:t>
      </w:r>
      <w:r w:rsidR="00FA0EF8">
        <w:rPr>
          <w:rFonts w:asciiTheme="majorHAnsi" w:hAnsiTheme="majorHAnsi" w:cstheme="majorHAnsi"/>
          <w:sz w:val="24"/>
          <w:szCs w:val="24"/>
          <w:lang w:val="tr-TR"/>
        </w:rPr>
        <w:t>“</w:t>
      </w:r>
      <w:r w:rsidR="00581C55" w:rsidRPr="00BD756D">
        <w:rPr>
          <w:rFonts w:asciiTheme="majorHAnsi" w:hAnsiTheme="majorHAnsi" w:cstheme="majorHAnsi"/>
          <w:sz w:val="24"/>
          <w:szCs w:val="24"/>
        </w:rPr>
        <w:t>Son dönemde yaşanan fon krizi, yalnızca sermaye piyasalarının veya ekonominin teknik bir meselesi olarak görülemez. Binlerce insanın emeğini, birikimini ve geleceğini ilgilendiren bu tablo; hukuk, ekonomi ve kamu denetimi açısından birlikte ele alınması gereken ciddi bir güven meselesidir.</w:t>
      </w:r>
      <w:r w:rsidR="00FA0EF8">
        <w:rPr>
          <w:rFonts w:asciiTheme="majorHAnsi" w:hAnsiTheme="majorHAnsi" w:cstheme="majorHAnsi"/>
          <w:sz w:val="24"/>
          <w:szCs w:val="24"/>
        </w:rPr>
        <w:t xml:space="preserve"> </w:t>
      </w:r>
      <w:r w:rsidR="00581C55" w:rsidRPr="00BD756D">
        <w:rPr>
          <w:rFonts w:asciiTheme="majorHAnsi" w:hAnsiTheme="majorHAnsi" w:cstheme="majorHAnsi"/>
          <w:sz w:val="24"/>
          <w:szCs w:val="24"/>
        </w:rPr>
        <w:t>Gelinen noktada öncelik, mağduriyetlerin giderilmesi ve yatırımcıların haklarının eksiksiz biçimde korunmasıdır. Ancak bununla yetinilemez. Bu krizin nasıl ortaya çıktığı, denetim mekanizmalarının neden zamanında ve etkili şekilde işle</w:t>
      </w:r>
      <w:r w:rsidR="00BD756D">
        <w:rPr>
          <w:rFonts w:asciiTheme="majorHAnsi" w:hAnsiTheme="majorHAnsi" w:cstheme="majorHAnsi"/>
          <w:sz w:val="24"/>
          <w:szCs w:val="24"/>
        </w:rPr>
        <w:t>til</w:t>
      </w:r>
      <w:r w:rsidR="00581C55" w:rsidRPr="00BD756D">
        <w:rPr>
          <w:rFonts w:asciiTheme="majorHAnsi" w:hAnsiTheme="majorHAnsi" w:cstheme="majorHAnsi"/>
          <w:sz w:val="24"/>
          <w:szCs w:val="24"/>
        </w:rPr>
        <w:t xml:space="preserve">mediği, varsa ihmal ve </w:t>
      </w:r>
      <w:proofErr w:type="gramStart"/>
      <w:r w:rsidR="00581C55" w:rsidRPr="00BD756D">
        <w:rPr>
          <w:rFonts w:asciiTheme="majorHAnsi" w:hAnsiTheme="majorHAnsi" w:cstheme="majorHAnsi"/>
          <w:sz w:val="24"/>
          <w:szCs w:val="24"/>
        </w:rPr>
        <w:t>sorumlulukların</w:t>
      </w:r>
      <w:proofErr w:type="gramEnd"/>
      <w:r w:rsidR="00581C55" w:rsidRPr="00BD756D">
        <w:rPr>
          <w:rFonts w:asciiTheme="majorHAnsi" w:hAnsiTheme="majorHAnsi" w:cstheme="majorHAnsi"/>
          <w:sz w:val="24"/>
          <w:szCs w:val="24"/>
        </w:rPr>
        <w:t xml:space="preserve"> kimlere ait olduğu bütün yönleriyle ortaya çıkarılmalıdır.</w:t>
      </w:r>
      <w:r w:rsidR="00FA0EF8">
        <w:rPr>
          <w:rFonts w:asciiTheme="majorHAnsi" w:hAnsiTheme="majorHAnsi" w:cstheme="majorHAnsi"/>
          <w:sz w:val="24"/>
          <w:szCs w:val="24"/>
        </w:rPr>
        <w:t>”</w:t>
      </w:r>
      <w:r w:rsidR="00FA0EF8" w:rsidRPr="00FA0EF8">
        <w:rPr>
          <w:rFonts w:asciiTheme="majorHAnsi" w:hAnsiTheme="majorHAnsi" w:cstheme="majorHAnsi"/>
          <w:sz w:val="24"/>
          <w:szCs w:val="24"/>
        </w:rPr>
        <w:t xml:space="preserve"> </w:t>
      </w:r>
      <w:r w:rsidR="00FA0EF8">
        <w:rPr>
          <w:rFonts w:asciiTheme="majorHAnsi" w:hAnsiTheme="majorHAnsi" w:cstheme="majorHAnsi"/>
          <w:sz w:val="24"/>
          <w:szCs w:val="24"/>
        </w:rPr>
        <w:t>denildi.</w:t>
      </w:r>
    </w:p>
    <w:p w14:paraId="22789A2D" w14:textId="080BA356" w:rsidR="00F86823" w:rsidRPr="00F86823" w:rsidRDefault="00F86823">
      <w:pPr>
        <w:jc w:val="both"/>
        <w:rPr>
          <w:rFonts w:asciiTheme="majorHAnsi" w:hAnsiTheme="majorHAnsi" w:cstheme="majorHAnsi"/>
          <w:b/>
          <w:bCs/>
          <w:sz w:val="24"/>
          <w:szCs w:val="24"/>
        </w:rPr>
      </w:pPr>
      <w:r w:rsidRPr="00F86823">
        <w:rPr>
          <w:rFonts w:asciiTheme="majorHAnsi" w:hAnsiTheme="majorHAnsi" w:cstheme="majorHAnsi"/>
          <w:b/>
          <w:bCs/>
          <w:sz w:val="24"/>
          <w:szCs w:val="24"/>
        </w:rPr>
        <w:t>“Haksız kazanç alanlarıyla etkin mücadele şart”</w:t>
      </w:r>
    </w:p>
    <w:p w14:paraId="7360D691" w14:textId="6C6528F1" w:rsidR="001C3608" w:rsidRPr="00FA0EF8" w:rsidRDefault="00FA0EF8">
      <w:pPr>
        <w:jc w:val="both"/>
        <w:rPr>
          <w:rFonts w:asciiTheme="majorHAnsi" w:hAnsiTheme="majorHAnsi" w:cstheme="majorHAnsi"/>
          <w:sz w:val="24"/>
          <w:szCs w:val="24"/>
        </w:rPr>
      </w:pPr>
      <w:r w:rsidRPr="00FA0EF8">
        <w:rPr>
          <w:rFonts w:asciiTheme="majorHAnsi" w:hAnsiTheme="majorHAnsi" w:cstheme="majorHAnsi"/>
          <w:sz w:val="24"/>
          <w:szCs w:val="24"/>
        </w:rPr>
        <w:t>Olayın yalnızca münferit kişi veya kurum</w:t>
      </w:r>
      <w:r w:rsidR="00934214">
        <w:rPr>
          <w:rFonts w:asciiTheme="majorHAnsi" w:hAnsiTheme="majorHAnsi" w:cstheme="majorHAnsi"/>
          <w:sz w:val="24"/>
          <w:szCs w:val="24"/>
        </w:rPr>
        <w:t>lara indirgenemeyeceğinin altı</w:t>
      </w:r>
      <w:r w:rsidRPr="00FA0EF8">
        <w:rPr>
          <w:rFonts w:asciiTheme="majorHAnsi" w:hAnsiTheme="majorHAnsi" w:cstheme="majorHAnsi"/>
          <w:sz w:val="24"/>
          <w:szCs w:val="24"/>
        </w:rPr>
        <w:t xml:space="preserve"> çiz</w:t>
      </w:r>
      <w:r>
        <w:rPr>
          <w:rFonts w:asciiTheme="majorHAnsi" w:hAnsiTheme="majorHAnsi" w:cstheme="majorHAnsi"/>
          <w:sz w:val="24"/>
          <w:szCs w:val="24"/>
        </w:rPr>
        <w:t>il</w:t>
      </w:r>
      <w:r w:rsidRPr="00FA0EF8">
        <w:rPr>
          <w:rFonts w:asciiTheme="majorHAnsi" w:hAnsiTheme="majorHAnsi" w:cstheme="majorHAnsi"/>
          <w:sz w:val="24"/>
          <w:szCs w:val="24"/>
        </w:rPr>
        <w:t xml:space="preserve">en </w:t>
      </w:r>
      <w:r>
        <w:rPr>
          <w:rFonts w:asciiTheme="majorHAnsi" w:hAnsiTheme="majorHAnsi" w:cstheme="majorHAnsi"/>
          <w:sz w:val="24"/>
          <w:szCs w:val="24"/>
          <w:lang w:val="tr-TR"/>
        </w:rPr>
        <w:t xml:space="preserve">değerlendirmede, </w:t>
      </w:r>
      <w:r w:rsidRPr="00FA0EF8">
        <w:rPr>
          <w:rFonts w:asciiTheme="majorHAnsi" w:hAnsiTheme="majorHAnsi" w:cstheme="majorHAnsi"/>
          <w:sz w:val="24"/>
          <w:szCs w:val="24"/>
        </w:rPr>
        <w:t>meselenin kayıt dışı ve gayrimeşru kazanç yapılarıyla bağlantısına dikkat çek</w:t>
      </w:r>
      <w:r>
        <w:rPr>
          <w:rFonts w:asciiTheme="majorHAnsi" w:hAnsiTheme="majorHAnsi" w:cstheme="majorHAnsi"/>
          <w:sz w:val="24"/>
          <w:szCs w:val="24"/>
        </w:rPr>
        <w:t>ilerek şu ifadelere yer verildi:</w:t>
      </w:r>
    </w:p>
    <w:p w14:paraId="15B09D86" w14:textId="635700ED" w:rsidR="00581C55" w:rsidRDefault="00FA0EF8">
      <w:pPr>
        <w:jc w:val="both"/>
        <w:rPr>
          <w:rFonts w:asciiTheme="majorHAnsi" w:hAnsiTheme="majorHAnsi" w:cstheme="majorHAnsi"/>
          <w:sz w:val="24"/>
          <w:szCs w:val="24"/>
        </w:rPr>
      </w:pPr>
      <w:r>
        <w:rPr>
          <w:rFonts w:asciiTheme="majorHAnsi" w:hAnsiTheme="majorHAnsi" w:cstheme="majorHAnsi"/>
          <w:sz w:val="24"/>
          <w:szCs w:val="24"/>
        </w:rPr>
        <w:t>“</w:t>
      </w:r>
      <w:r w:rsidR="00581C55" w:rsidRPr="00BD756D">
        <w:rPr>
          <w:rFonts w:asciiTheme="majorHAnsi" w:hAnsiTheme="majorHAnsi" w:cstheme="majorHAnsi"/>
          <w:sz w:val="24"/>
          <w:szCs w:val="24"/>
        </w:rPr>
        <w:t>Meseleyi yalnızca birkaç kişi veya kurum üzerinden okumak da eksik olacaktır. Fon krizi</w:t>
      </w:r>
      <w:r w:rsidR="00BD756D" w:rsidRPr="00BD756D">
        <w:rPr>
          <w:rFonts w:asciiTheme="majorHAnsi" w:hAnsiTheme="majorHAnsi" w:cstheme="majorHAnsi"/>
          <w:sz w:val="24"/>
          <w:szCs w:val="24"/>
        </w:rPr>
        <w:t>; yolsuzluk, rüşvet, tefecilik,</w:t>
      </w:r>
      <w:r w:rsidR="00581C55" w:rsidRPr="00BD756D">
        <w:rPr>
          <w:rFonts w:asciiTheme="majorHAnsi" w:hAnsiTheme="majorHAnsi" w:cstheme="majorHAnsi"/>
          <w:sz w:val="24"/>
          <w:szCs w:val="24"/>
        </w:rPr>
        <w:t xml:space="preserve"> kumar ve bahis gibi haksız kazanç alanlarıyla mücadelede güçlü bir hukuk düzeninin </w:t>
      </w:r>
      <w:r w:rsidR="00BD756D" w:rsidRPr="00BD756D">
        <w:rPr>
          <w:rFonts w:asciiTheme="majorHAnsi" w:hAnsiTheme="majorHAnsi" w:cstheme="majorHAnsi"/>
          <w:sz w:val="24"/>
          <w:szCs w:val="24"/>
        </w:rPr>
        <w:t xml:space="preserve">ve </w:t>
      </w:r>
      <w:r w:rsidR="00581C55" w:rsidRPr="00BD756D">
        <w:rPr>
          <w:rFonts w:asciiTheme="majorHAnsi" w:hAnsiTheme="majorHAnsi" w:cstheme="majorHAnsi"/>
          <w:sz w:val="24"/>
          <w:szCs w:val="24"/>
        </w:rPr>
        <w:t>etkin denetimin ne kadar önemli olduğunu bir kez daha göstermiştir.</w:t>
      </w:r>
      <w:r>
        <w:rPr>
          <w:rFonts w:asciiTheme="majorHAnsi" w:hAnsiTheme="majorHAnsi" w:cstheme="majorHAnsi"/>
          <w:sz w:val="24"/>
          <w:szCs w:val="24"/>
        </w:rPr>
        <w:t>”</w:t>
      </w:r>
    </w:p>
    <w:p w14:paraId="37776708" w14:textId="3717F216" w:rsidR="00424963" w:rsidRPr="00424963" w:rsidRDefault="00424963">
      <w:pPr>
        <w:jc w:val="both"/>
        <w:rPr>
          <w:rFonts w:asciiTheme="majorHAnsi" w:hAnsiTheme="majorHAnsi" w:cstheme="majorHAnsi"/>
          <w:b/>
          <w:bCs/>
          <w:sz w:val="24"/>
          <w:szCs w:val="24"/>
        </w:rPr>
      </w:pPr>
      <w:r w:rsidRPr="00424963">
        <w:rPr>
          <w:rFonts w:asciiTheme="majorHAnsi" w:hAnsiTheme="majorHAnsi" w:cstheme="majorHAnsi"/>
          <w:b/>
          <w:bCs/>
          <w:sz w:val="24"/>
          <w:szCs w:val="24"/>
        </w:rPr>
        <w:t>“Hiç kimsenin nüfuzu, makamı ve</w:t>
      </w:r>
      <w:r>
        <w:rPr>
          <w:rFonts w:asciiTheme="majorHAnsi" w:hAnsiTheme="majorHAnsi" w:cstheme="majorHAnsi"/>
          <w:b/>
          <w:bCs/>
          <w:sz w:val="24"/>
          <w:szCs w:val="24"/>
        </w:rPr>
        <w:t xml:space="preserve"> </w:t>
      </w:r>
      <w:r w:rsidRPr="00424963">
        <w:rPr>
          <w:rFonts w:asciiTheme="majorHAnsi" w:hAnsiTheme="majorHAnsi" w:cstheme="majorHAnsi"/>
          <w:b/>
          <w:bCs/>
          <w:sz w:val="24"/>
          <w:szCs w:val="24"/>
        </w:rPr>
        <w:t>ekonomik gücü hukukun üzerinde olmamalıdır”</w:t>
      </w:r>
    </w:p>
    <w:p w14:paraId="00000007" w14:textId="77C5D61E" w:rsidR="00E610A8" w:rsidRPr="00BD756D" w:rsidRDefault="00424963">
      <w:pPr>
        <w:jc w:val="both"/>
        <w:rPr>
          <w:rFonts w:asciiTheme="majorHAnsi" w:hAnsiTheme="majorHAnsi" w:cstheme="majorHAnsi"/>
          <w:sz w:val="24"/>
          <w:szCs w:val="24"/>
        </w:rPr>
      </w:pPr>
      <w:r w:rsidRPr="00424963">
        <w:rPr>
          <w:rFonts w:asciiTheme="majorHAnsi" w:hAnsiTheme="majorHAnsi" w:cstheme="majorHAnsi"/>
          <w:sz w:val="24"/>
          <w:szCs w:val="24"/>
        </w:rPr>
        <w:t xml:space="preserve">Ekonomik istikrar ve güven ortamının ancak adil bir yargı mekanizmasıyla </w:t>
      </w:r>
      <w:r w:rsidR="00054195" w:rsidRPr="00054195">
        <w:rPr>
          <w:rFonts w:asciiTheme="majorHAnsi" w:hAnsiTheme="majorHAnsi" w:cstheme="majorHAnsi"/>
          <w:sz w:val="24"/>
          <w:szCs w:val="24"/>
        </w:rPr>
        <w:t>sağlanabileceği</w:t>
      </w:r>
      <w:r w:rsidR="00054195">
        <w:rPr>
          <w:rFonts w:asciiTheme="majorHAnsi" w:hAnsiTheme="majorHAnsi" w:cstheme="majorHAnsi"/>
          <w:sz w:val="24"/>
          <w:szCs w:val="24"/>
        </w:rPr>
        <w:t xml:space="preserve"> </w:t>
      </w:r>
      <w:r w:rsidRPr="00424963">
        <w:rPr>
          <w:rFonts w:asciiTheme="majorHAnsi" w:hAnsiTheme="majorHAnsi" w:cstheme="majorHAnsi"/>
          <w:sz w:val="24"/>
          <w:szCs w:val="24"/>
        </w:rPr>
        <w:t xml:space="preserve">ifade edilen </w:t>
      </w:r>
      <w:r>
        <w:rPr>
          <w:rFonts w:asciiTheme="majorHAnsi" w:hAnsiTheme="majorHAnsi" w:cstheme="majorHAnsi"/>
          <w:sz w:val="24"/>
          <w:szCs w:val="24"/>
        </w:rPr>
        <w:t>değerlendirmede</w:t>
      </w:r>
      <w:r w:rsidRPr="00424963">
        <w:rPr>
          <w:rFonts w:asciiTheme="majorHAnsi" w:hAnsiTheme="majorHAnsi" w:cstheme="majorHAnsi"/>
          <w:sz w:val="24"/>
          <w:szCs w:val="24"/>
        </w:rPr>
        <w:t xml:space="preserve">, </w:t>
      </w:r>
      <w:bookmarkStart w:id="1" w:name="_st3luwelta1m" w:colFirst="0" w:colLast="0"/>
      <w:bookmarkEnd w:id="1"/>
      <w:r>
        <w:rPr>
          <w:rFonts w:asciiTheme="majorHAnsi" w:hAnsiTheme="majorHAnsi" w:cstheme="majorHAnsi"/>
          <w:sz w:val="24"/>
          <w:szCs w:val="24"/>
        </w:rPr>
        <w:t>“</w:t>
      </w:r>
      <w:r w:rsidR="00581C55" w:rsidRPr="00BD756D">
        <w:rPr>
          <w:rFonts w:asciiTheme="majorHAnsi" w:hAnsiTheme="majorHAnsi" w:cstheme="majorHAnsi"/>
          <w:sz w:val="24"/>
          <w:szCs w:val="24"/>
        </w:rPr>
        <w:t>Ekonomide güvenin temeli hukuktur; hukukun temeli ise adalet, şeffaflık ve hesap verebilirliktir. Hiç kimsenin nüfuzu, makamı veya ekonomik gücü hukukun üzerinde olmamalıdır. Türkiye’nin ihtiyacı, krizi geçici tedbirlerle yönetmek değil; benzer mağduriyetlerin yeniden yaşanmasını önleyec</w:t>
      </w:r>
      <w:r w:rsidR="00BD756D">
        <w:rPr>
          <w:rFonts w:asciiTheme="majorHAnsi" w:hAnsiTheme="majorHAnsi" w:cstheme="majorHAnsi"/>
          <w:sz w:val="24"/>
          <w:szCs w:val="24"/>
        </w:rPr>
        <w:t>ek güçlü denetim mekanizmaları</w:t>
      </w:r>
      <w:r w:rsidR="00581C55" w:rsidRPr="00BD756D">
        <w:rPr>
          <w:rFonts w:asciiTheme="majorHAnsi" w:hAnsiTheme="majorHAnsi" w:cstheme="majorHAnsi"/>
          <w:sz w:val="24"/>
          <w:szCs w:val="24"/>
        </w:rPr>
        <w:t xml:space="preserve"> kurmak; insanı, emeği ve hakkı merkeze alan adil bir ekonomik ve hukuki düzeni hayata geçirmektir.</w:t>
      </w:r>
      <w:r w:rsidR="00054195">
        <w:rPr>
          <w:rFonts w:asciiTheme="majorHAnsi" w:hAnsiTheme="majorHAnsi" w:cstheme="majorHAnsi"/>
          <w:sz w:val="24"/>
          <w:szCs w:val="24"/>
        </w:rPr>
        <w:t>” çağrısında b</w:t>
      </w:r>
      <w:r>
        <w:rPr>
          <w:rFonts w:asciiTheme="majorHAnsi" w:hAnsiTheme="majorHAnsi" w:cstheme="majorHAnsi"/>
          <w:sz w:val="24"/>
          <w:szCs w:val="24"/>
        </w:rPr>
        <w:t>ulunuldu.</w:t>
      </w:r>
    </w:p>
    <w:p w14:paraId="5DF8AD65" w14:textId="14E4B72E" w:rsidR="00F86823" w:rsidRPr="00F86823" w:rsidRDefault="00F86823">
      <w:pPr>
        <w:jc w:val="both"/>
        <w:rPr>
          <w:rFonts w:asciiTheme="majorHAnsi" w:hAnsiTheme="majorHAnsi" w:cstheme="majorHAnsi"/>
          <w:b/>
          <w:bCs/>
          <w:sz w:val="24"/>
          <w:szCs w:val="24"/>
        </w:rPr>
      </w:pPr>
      <w:r w:rsidRPr="00F86823">
        <w:rPr>
          <w:rFonts w:asciiTheme="majorHAnsi" w:hAnsiTheme="majorHAnsi" w:cstheme="majorHAnsi"/>
          <w:b/>
          <w:bCs/>
          <w:sz w:val="24"/>
          <w:szCs w:val="24"/>
        </w:rPr>
        <w:t>“Üniversite hastanelerinde eş durumu mağduriyeti sürüyor”</w:t>
      </w:r>
    </w:p>
    <w:p w14:paraId="0000000C" w14:textId="66F84840" w:rsidR="00E610A8" w:rsidRDefault="00424963">
      <w:pPr>
        <w:jc w:val="both"/>
        <w:rPr>
          <w:rFonts w:asciiTheme="majorHAnsi" w:hAnsiTheme="majorHAnsi" w:cstheme="majorHAnsi"/>
          <w:sz w:val="24"/>
          <w:szCs w:val="24"/>
        </w:rPr>
      </w:pPr>
      <w:r w:rsidRPr="00424963">
        <w:rPr>
          <w:rFonts w:asciiTheme="majorHAnsi" w:hAnsiTheme="majorHAnsi" w:cstheme="majorHAnsi"/>
          <w:sz w:val="24"/>
          <w:szCs w:val="24"/>
        </w:rPr>
        <w:t>Üniversite hastanelerinde eş durumu olan personelin tayin talepleri</w:t>
      </w:r>
      <w:r>
        <w:rPr>
          <w:rFonts w:asciiTheme="majorHAnsi" w:hAnsiTheme="majorHAnsi" w:cstheme="majorHAnsi"/>
          <w:sz w:val="24"/>
          <w:szCs w:val="24"/>
        </w:rPr>
        <w:t>ne de değinilen değerlendirmede, “</w:t>
      </w:r>
      <w:r w:rsidR="00581C55" w:rsidRPr="00BD756D">
        <w:rPr>
          <w:rFonts w:asciiTheme="majorHAnsi" w:hAnsiTheme="majorHAnsi" w:cstheme="majorHAnsi"/>
          <w:sz w:val="24"/>
          <w:szCs w:val="24"/>
        </w:rPr>
        <w:t xml:space="preserve">2025 Aile Yılı’nın ardından 2026-2035 döneminin </w:t>
      </w:r>
      <w:r>
        <w:rPr>
          <w:rFonts w:asciiTheme="majorHAnsi" w:hAnsiTheme="majorHAnsi" w:cstheme="majorHAnsi"/>
          <w:sz w:val="24"/>
          <w:szCs w:val="24"/>
        </w:rPr>
        <w:t>‘</w:t>
      </w:r>
      <w:r w:rsidR="00581C55" w:rsidRPr="00BD756D">
        <w:rPr>
          <w:rFonts w:asciiTheme="majorHAnsi" w:hAnsiTheme="majorHAnsi" w:cstheme="majorHAnsi"/>
          <w:sz w:val="24"/>
          <w:szCs w:val="24"/>
        </w:rPr>
        <w:t>Aile ve Nüfus On Yılı</w:t>
      </w:r>
      <w:r>
        <w:rPr>
          <w:rFonts w:asciiTheme="majorHAnsi" w:hAnsiTheme="majorHAnsi" w:cstheme="majorHAnsi"/>
          <w:sz w:val="24"/>
          <w:szCs w:val="24"/>
        </w:rPr>
        <w:t>’</w:t>
      </w:r>
      <w:r w:rsidR="00581C55" w:rsidRPr="00BD756D">
        <w:rPr>
          <w:rFonts w:asciiTheme="majorHAnsi" w:hAnsiTheme="majorHAnsi" w:cstheme="majorHAnsi"/>
          <w:sz w:val="24"/>
          <w:szCs w:val="24"/>
        </w:rPr>
        <w:t xml:space="preserve"> olarak belirlenmesi, aile kurumunun korunmasına ve güçlendirilmesine verilen önemin açık bir göstergesidir. Ancak aile bütünlüğünün korunmasına yönelik hedeflere rağmen</w:t>
      </w:r>
      <w:r>
        <w:rPr>
          <w:rFonts w:asciiTheme="majorHAnsi" w:hAnsiTheme="majorHAnsi" w:cstheme="majorHAnsi"/>
          <w:sz w:val="24"/>
          <w:szCs w:val="24"/>
        </w:rPr>
        <w:t xml:space="preserve"> </w:t>
      </w:r>
      <w:r w:rsidR="00581C55" w:rsidRPr="00BD756D">
        <w:rPr>
          <w:rFonts w:asciiTheme="majorHAnsi" w:hAnsiTheme="majorHAnsi" w:cstheme="majorHAnsi"/>
          <w:sz w:val="24"/>
          <w:szCs w:val="24"/>
        </w:rPr>
        <w:t xml:space="preserve">üniversite </w:t>
      </w:r>
      <w:r w:rsidR="00581C55" w:rsidRPr="00BD756D">
        <w:rPr>
          <w:rFonts w:asciiTheme="majorHAnsi" w:hAnsiTheme="majorHAnsi" w:cstheme="majorHAnsi"/>
          <w:sz w:val="24"/>
          <w:szCs w:val="24"/>
        </w:rPr>
        <w:lastRenderedPageBreak/>
        <w:t xml:space="preserve">hastanelerinde görev yapan sağlık çalışanlarımızın eş durumu nedeniyle </w:t>
      </w:r>
      <w:r w:rsidR="0007487E" w:rsidRPr="00BD756D">
        <w:rPr>
          <w:rFonts w:asciiTheme="majorHAnsi" w:hAnsiTheme="majorHAnsi" w:cstheme="majorHAnsi"/>
          <w:sz w:val="24"/>
          <w:szCs w:val="24"/>
        </w:rPr>
        <w:t xml:space="preserve">görev yeri değişikliği taleplerinde yaşanan sorunlar </w:t>
      </w:r>
      <w:r w:rsidR="00581C55" w:rsidRPr="00BD756D">
        <w:rPr>
          <w:rFonts w:asciiTheme="majorHAnsi" w:hAnsiTheme="majorHAnsi" w:cstheme="majorHAnsi"/>
          <w:sz w:val="24"/>
          <w:szCs w:val="24"/>
        </w:rPr>
        <w:t xml:space="preserve">halen </w:t>
      </w:r>
      <w:r w:rsidR="00BE4E73" w:rsidRPr="00BD756D">
        <w:rPr>
          <w:rFonts w:asciiTheme="majorHAnsi" w:hAnsiTheme="majorHAnsi" w:cstheme="majorHAnsi"/>
          <w:sz w:val="24"/>
          <w:szCs w:val="24"/>
        </w:rPr>
        <w:t>devam etmektedir</w:t>
      </w:r>
      <w:r w:rsidR="00581C55" w:rsidRPr="00BD756D">
        <w:rPr>
          <w:rFonts w:asciiTheme="majorHAnsi" w:hAnsiTheme="majorHAnsi" w:cstheme="majorHAnsi"/>
          <w:sz w:val="24"/>
          <w:szCs w:val="24"/>
        </w:rPr>
        <w:t>.</w:t>
      </w:r>
      <w:r>
        <w:rPr>
          <w:rFonts w:asciiTheme="majorHAnsi" w:hAnsiTheme="majorHAnsi" w:cstheme="majorHAnsi"/>
          <w:sz w:val="24"/>
          <w:szCs w:val="24"/>
        </w:rPr>
        <w:t xml:space="preserve"> </w:t>
      </w:r>
      <w:r w:rsidR="00E228CC" w:rsidRPr="00BD756D">
        <w:rPr>
          <w:rFonts w:asciiTheme="majorHAnsi" w:hAnsiTheme="majorHAnsi" w:cstheme="majorHAnsi"/>
          <w:sz w:val="24"/>
          <w:szCs w:val="24"/>
        </w:rPr>
        <w:t>Üniversitelerin idari ve mali yapıları, personelin tabi olduğu farklı istihdam statüleri ve sağlık hizmetlerinin sürekliliği elbette dikkate alınmalıdır. Ancak bu hususlar, aile birliğinin korunmasına yönelik makul ve uygulanabilir çözümler geliştirilmesine engel olmamalıdır.</w:t>
      </w:r>
      <w:r>
        <w:rPr>
          <w:rFonts w:asciiTheme="majorHAnsi" w:hAnsiTheme="majorHAnsi" w:cstheme="majorHAnsi"/>
          <w:sz w:val="24"/>
          <w:szCs w:val="24"/>
        </w:rPr>
        <w:t>” ifadelerine yer verildi.</w:t>
      </w:r>
    </w:p>
    <w:p w14:paraId="532767F1" w14:textId="6A489CBD" w:rsidR="00F86823" w:rsidRPr="00F86823" w:rsidRDefault="00F86823">
      <w:pPr>
        <w:jc w:val="both"/>
        <w:rPr>
          <w:rFonts w:asciiTheme="majorHAnsi" w:hAnsiTheme="majorHAnsi" w:cstheme="majorHAnsi"/>
          <w:b/>
          <w:bCs/>
          <w:sz w:val="24"/>
          <w:szCs w:val="24"/>
        </w:rPr>
      </w:pPr>
      <w:r w:rsidRPr="00F86823">
        <w:rPr>
          <w:rFonts w:asciiTheme="majorHAnsi" w:hAnsiTheme="majorHAnsi" w:cstheme="majorHAnsi"/>
          <w:b/>
          <w:bCs/>
          <w:sz w:val="24"/>
          <w:szCs w:val="24"/>
        </w:rPr>
        <w:t>“</w:t>
      </w:r>
      <w:r w:rsidR="00934214">
        <w:rPr>
          <w:rFonts w:asciiTheme="majorHAnsi" w:hAnsiTheme="majorHAnsi" w:cstheme="majorHAnsi"/>
          <w:b/>
          <w:bCs/>
          <w:sz w:val="24"/>
          <w:szCs w:val="24"/>
        </w:rPr>
        <w:t>‘</w:t>
      </w:r>
      <w:r w:rsidRPr="00F86823">
        <w:rPr>
          <w:rFonts w:asciiTheme="majorHAnsi" w:hAnsiTheme="majorHAnsi" w:cstheme="majorHAnsi"/>
          <w:b/>
          <w:bCs/>
          <w:sz w:val="24"/>
          <w:szCs w:val="24"/>
        </w:rPr>
        <w:t xml:space="preserve">Aile ve Nüfus On Yılı’ hedefleri yalnızca söylemde kalmamalı” </w:t>
      </w:r>
    </w:p>
    <w:p w14:paraId="33C9368D" w14:textId="031B8E1C" w:rsidR="00424963" w:rsidRPr="00BD756D" w:rsidRDefault="00424963">
      <w:pPr>
        <w:jc w:val="both"/>
        <w:rPr>
          <w:rFonts w:asciiTheme="majorHAnsi" w:hAnsiTheme="majorHAnsi" w:cstheme="majorHAnsi"/>
          <w:sz w:val="24"/>
          <w:szCs w:val="24"/>
        </w:rPr>
      </w:pPr>
      <w:r>
        <w:rPr>
          <w:rFonts w:asciiTheme="majorHAnsi" w:hAnsiTheme="majorHAnsi" w:cstheme="majorHAnsi"/>
          <w:sz w:val="24"/>
          <w:szCs w:val="24"/>
        </w:rPr>
        <w:t>Değerlendirmenin devamında, b</w:t>
      </w:r>
      <w:r w:rsidRPr="00424963">
        <w:rPr>
          <w:rFonts w:asciiTheme="majorHAnsi" w:hAnsiTheme="majorHAnsi" w:cstheme="majorHAnsi"/>
          <w:sz w:val="24"/>
          <w:szCs w:val="24"/>
        </w:rPr>
        <w:t>azı kamu kurumlarındaki becayiş ve karşılıklı eşleştirme yöntemlerinin örnek alınarak üniversite hastanelerinde çalışan eşlerin aynı şehirde görev yapabilmelerinin önünün açılması ve böylece aile bütünlüğünün korunması çağrısında bulun</w:t>
      </w:r>
      <w:r>
        <w:rPr>
          <w:rFonts w:asciiTheme="majorHAnsi" w:hAnsiTheme="majorHAnsi" w:cstheme="majorHAnsi"/>
          <w:sz w:val="24"/>
          <w:szCs w:val="24"/>
        </w:rPr>
        <w:t>ul</w:t>
      </w:r>
      <w:r w:rsidRPr="00424963">
        <w:rPr>
          <w:rFonts w:asciiTheme="majorHAnsi" w:hAnsiTheme="majorHAnsi" w:cstheme="majorHAnsi"/>
          <w:sz w:val="24"/>
          <w:szCs w:val="24"/>
        </w:rPr>
        <w:t>du</w:t>
      </w:r>
      <w:r>
        <w:rPr>
          <w:rFonts w:asciiTheme="majorHAnsi" w:hAnsiTheme="majorHAnsi" w:cstheme="majorHAnsi"/>
          <w:sz w:val="24"/>
          <w:szCs w:val="24"/>
        </w:rPr>
        <w:t>:</w:t>
      </w:r>
    </w:p>
    <w:p w14:paraId="0000000E" w14:textId="57D3C79A" w:rsidR="00E610A8" w:rsidRPr="00424963" w:rsidRDefault="00424963">
      <w:pPr>
        <w:jc w:val="both"/>
        <w:rPr>
          <w:rFonts w:asciiTheme="majorHAnsi" w:hAnsiTheme="majorHAnsi" w:cstheme="majorHAnsi"/>
          <w:color w:val="00B0F0"/>
          <w:sz w:val="24"/>
          <w:szCs w:val="24"/>
        </w:rPr>
      </w:pPr>
      <w:r>
        <w:rPr>
          <w:rFonts w:asciiTheme="majorHAnsi" w:hAnsiTheme="majorHAnsi" w:cstheme="majorHAnsi"/>
          <w:sz w:val="24"/>
          <w:szCs w:val="24"/>
        </w:rPr>
        <w:t>“‘</w:t>
      </w:r>
      <w:r w:rsidR="00581C55" w:rsidRPr="00BD756D">
        <w:rPr>
          <w:rFonts w:asciiTheme="majorHAnsi" w:hAnsiTheme="majorHAnsi" w:cstheme="majorHAnsi"/>
          <w:sz w:val="24"/>
          <w:szCs w:val="24"/>
        </w:rPr>
        <w:t>Aile ve Nüfus On Yılı</w:t>
      </w:r>
      <w:r>
        <w:rPr>
          <w:rFonts w:asciiTheme="majorHAnsi" w:hAnsiTheme="majorHAnsi" w:cstheme="majorHAnsi"/>
          <w:sz w:val="24"/>
          <w:szCs w:val="24"/>
        </w:rPr>
        <w:t xml:space="preserve">’ </w:t>
      </w:r>
      <w:r w:rsidR="00581C55" w:rsidRPr="00BD756D">
        <w:rPr>
          <w:rFonts w:asciiTheme="majorHAnsi" w:hAnsiTheme="majorHAnsi" w:cstheme="majorHAnsi"/>
          <w:sz w:val="24"/>
          <w:szCs w:val="24"/>
        </w:rPr>
        <w:t>hedefleri yalnızca söylemde kalmama</w:t>
      </w:r>
      <w:r>
        <w:rPr>
          <w:rFonts w:asciiTheme="majorHAnsi" w:hAnsiTheme="majorHAnsi" w:cstheme="majorHAnsi"/>
          <w:sz w:val="24"/>
          <w:szCs w:val="24"/>
        </w:rPr>
        <w:t>l</w:t>
      </w:r>
      <w:r w:rsidR="00581C55" w:rsidRPr="00BD756D">
        <w:rPr>
          <w:rFonts w:asciiTheme="majorHAnsi" w:hAnsiTheme="majorHAnsi" w:cstheme="majorHAnsi"/>
          <w:sz w:val="24"/>
          <w:szCs w:val="24"/>
        </w:rPr>
        <w:t>ı, çalışma hayatındaki uygulamalara da yansıması gerekmektedir. Bu çerçevede üniversitelerimizin eş durumu nedeniyle tayin taleplerine daha yapıcı yaklaşması, kurumlar arası geçiş ve tayin imkânlarının önündeki engellerin azaltılması ve aile bütünlüğünü bozan uygulamaların giderilmesi çağrısında bulunuyoruz</w:t>
      </w:r>
      <w:r w:rsidR="00581C55" w:rsidRPr="00C22F7C">
        <w:rPr>
          <w:rFonts w:asciiTheme="majorHAnsi" w:hAnsiTheme="majorHAnsi" w:cstheme="majorHAnsi"/>
          <w:sz w:val="24"/>
          <w:szCs w:val="24"/>
        </w:rPr>
        <w:t>.</w:t>
      </w:r>
      <w:r>
        <w:rPr>
          <w:rFonts w:asciiTheme="majorHAnsi" w:hAnsiTheme="majorHAnsi" w:cstheme="majorHAnsi"/>
          <w:sz w:val="24"/>
          <w:szCs w:val="24"/>
        </w:rPr>
        <w:t>”</w:t>
      </w:r>
    </w:p>
    <w:p w14:paraId="00000011" w14:textId="37507580" w:rsidR="00E610A8" w:rsidRDefault="00424963">
      <w:pPr>
        <w:jc w:val="both"/>
        <w:rPr>
          <w:rFonts w:asciiTheme="majorHAnsi" w:hAnsiTheme="majorHAnsi" w:cstheme="majorHAnsi"/>
          <w:b/>
          <w:bCs/>
          <w:sz w:val="24"/>
          <w:szCs w:val="24"/>
        </w:rPr>
      </w:pPr>
      <w:r>
        <w:rPr>
          <w:rFonts w:asciiTheme="majorHAnsi" w:hAnsiTheme="majorHAnsi" w:cstheme="majorHAnsi"/>
          <w:b/>
          <w:bCs/>
          <w:sz w:val="24"/>
          <w:szCs w:val="24"/>
        </w:rPr>
        <w:t>“A</w:t>
      </w:r>
      <w:r w:rsidRPr="00C22F7C">
        <w:rPr>
          <w:rFonts w:asciiTheme="majorHAnsi" w:hAnsiTheme="majorHAnsi" w:cstheme="majorHAnsi"/>
          <w:b/>
          <w:bCs/>
          <w:sz w:val="24"/>
          <w:szCs w:val="24"/>
        </w:rPr>
        <w:t>ile yapımızı ekranlarda ve dijital mecralarda da korumalıyız</w:t>
      </w:r>
      <w:r>
        <w:rPr>
          <w:rFonts w:asciiTheme="majorHAnsi" w:hAnsiTheme="majorHAnsi" w:cstheme="majorHAnsi"/>
          <w:b/>
          <w:bCs/>
          <w:sz w:val="24"/>
          <w:szCs w:val="24"/>
        </w:rPr>
        <w:t>”</w:t>
      </w:r>
      <w:r w:rsidRPr="00C22F7C">
        <w:rPr>
          <w:rFonts w:asciiTheme="majorHAnsi" w:hAnsiTheme="majorHAnsi" w:cstheme="majorHAnsi"/>
          <w:b/>
          <w:bCs/>
          <w:sz w:val="24"/>
          <w:szCs w:val="24"/>
        </w:rPr>
        <w:t xml:space="preserve"> </w:t>
      </w:r>
    </w:p>
    <w:p w14:paraId="6880BABF" w14:textId="49B7BE65" w:rsidR="00424963" w:rsidRPr="00424963" w:rsidRDefault="00424963">
      <w:pPr>
        <w:jc w:val="both"/>
        <w:rPr>
          <w:rFonts w:asciiTheme="majorHAnsi" w:hAnsiTheme="majorHAnsi" w:cstheme="majorHAnsi"/>
          <w:sz w:val="24"/>
          <w:szCs w:val="24"/>
        </w:rPr>
      </w:pPr>
      <w:r>
        <w:rPr>
          <w:rFonts w:asciiTheme="majorHAnsi" w:hAnsiTheme="majorHAnsi" w:cstheme="majorHAnsi"/>
          <w:sz w:val="24"/>
          <w:szCs w:val="24"/>
        </w:rPr>
        <w:t>B</w:t>
      </w:r>
      <w:r w:rsidRPr="00424963">
        <w:rPr>
          <w:rFonts w:asciiTheme="majorHAnsi" w:hAnsiTheme="majorHAnsi" w:cstheme="majorHAnsi"/>
          <w:sz w:val="24"/>
          <w:szCs w:val="24"/>
        </w:rPr>
        <w:t>ir yandan aile yapısını tehdit eden suç ve istismar odaklarına karşı “Ailem Güvende” operasyonları gerçekleştirilirken diğer yandan televizyon ekranları ile dijital mecralarda aile yapısını ve toplumsal ahlakı zedeleyen yayınların yaygınlaşmasına seyirci kalınmasının büyük bir çelişki olduğu</w:t>
      </w:r>
      <w:r>
        <w:rPr>
          <w:rFonts w:asciiTheme="majorHAnsi" w:hAnsiTheme="majorHAnsi" w:cstheme="majorHAnsi"/>
          <w:sz w:val="24"/>
          <w:szCs w:val="24"/>
        </w:rPr>
        <w:t>na dikkat çekilen değerlendirmenin devamında</w:t>
      </w:r>
      <w:r w:rsidR="00934214">
        <w:rPr>
          <w:rFonts w:asciiTheme="majorHAnsi" w:hAnsiTheme="majorHAnsi" w:cstheme="majorHAnsi"/>
          <w:sz w:val="24"/>
          <w:szCs w:val="24"/>
        </w:rPr>
        <w:t>, şu ifadelere yer verildi</w:t>
      </w:r>
      <w:r>
        <w:rPr>
          <w:rFonts w:asciiTheme="majorHAnsi" w:hAnsiTheme="majorHAnsi" w:cstheme="majorHAnsi"/>
          <w:sz w:val="24"/>
          <w:szCs w:val="24"/>
        </w:rPr>
        <w:t>:</w:t>
      </w:r>
    </w:p>
    <w:p w14:paraId="00000013" w14:textId="6B3F13FE" w:rsidR="00E610A8" w:rsidRPr="00BD756D" w:rsidRDefault="00424963">
      <w:pPr>
        <w:jc w:val="both"/>
        <w:rPr>
          <w:rFonts w:asciiTheme="majorHAnsi" w:hAnsiTheme="majorHAnsi" w:cstheme="majorHAnsi"/>
          <w:sz w:val="24"/>
          <w:szCs w:val="24"/>
        </w:rPr>
      </w:pPr>
      <w:r>
        <w:rPr>
          <w:rFonts w:asciiTheme="majorHAnsi" w:hAnsiTheme="majorHAnsi" w:cstheme="majorHAnsi"/>
          <w:sz w:val="24"/>
          <w:szCs w:val="24"/>
        </w:rPr>
        <w:t>“</w:t>
      </w:r>
      <w:r w:rsidR="00581C55" w:rsidRPr="00BD756D">
        <w:rPr>
          <w:rFonts w:asciiTheme="majorHAnsi" w:hAnsiTheme="majorHAnsi" w:cstheme="majorHAnsi"/>
          <w:sz w:val="24"/>
          <w:szCs w:val="24"/>
        </w:rPr>
        <w:t>Gündüz kuşağı programlarında aile mahremiyeti reyting uğruna ihlal edilmekte, adli vakalar ekranlarda tartışmaya açılmakta, şikâyetler ve suç iddiaları adeta birer medya yargılamasına dönüştürülmektedir. Oysa suçun araştırılacağı, delillerin değerlendirileceği ve adaletin tecelli edeceği yer televizyon ekranları değil, yargı mercileridir. Medya, kendisini mahkemenin yerine koymamalıdır.</w:t>
      </w:r>
      <w:r>
        <w:rPr>
          <w:rFonts w:asciiTheme="majorHAnsi" w:hAnsiTheme="majorHAnsi" w:cstheme="majorHAnsi"/>
          <w:sz w:val="24"/>
          <w:szCs w:val="24"/>
        </w:rPr>
        <w:t>”</w:t>
      </w:r>
    </w:p>
    <w:p w14:paraId="6EDC972F" w14:textId="2974689B" w:rsidR="00F86823" w:rsidRPr="00F86823" w:rsidRDefault="00F86823">
      <w:pPr>
        <w:jc w:val="both"/>
        <w:rPr>
          <w:rFonts w:asciiTheme="majorHAnsi" w:hAnsiTheme="majorHAnsi" w:cstheme="majorHAnsi"/>
          <w:b/>
          <w:bCs/>
          <w:sz w:val="24"/>
          <w:szCs w:val="24"/>
        </w:rPr>
      </w:pPr>
      <w:r w:rsidRPr="00F86823">
        <w:rPr>
          <w:rFonts w:asciiTheme="majorHAnsi" w:hAnsiTheme="majorHAnsi" w:cstheme="majorHAnsi"/>
          <w:b/>
          <w:bCs/>
          <w:sz w:val="24"/>
          <w:szCs w:val="24"/>
        </w:rPr>
        <w:t>“Dijital teşhir çocukları tehdit ediyor”</w:t>
      </w:r>
    </w:p>
    <w:p w14:paraId="00000014" w14:textId="527F0B2D" w:rsidR="00E610A8" w:rsidRPr="00BD756D" w:rsidRDefault="00581C55">
      <w:pPr>
        <w:jc w:val="both"/>
        <w:rPr>
          <w:rFonts w:asciiTheme="majorHAnsi" w:hAnsiTheme="majorHAnsi" w:cstheme="majorHAnsi"/>
          <w:sz w:val="24"/>
          <w:szCs w:val="24"/>
        </w:rPr>
      </w:pPr>
      <w:r w:rsidRPr="00BD756D">
        <w:rPr>
          <w:rFonts w:asciiTheme="majorHAnsi" w:hAnsiTheme="majorHAnsi" w:cstheme="majorHAnsi"/>
          <w:sz w:val="24"/>
          <w:szCs w:val="24"/>
        </w:rPr>
        <w:t>TikTok, Instagram ve benzeri dijital platformlarda çocukların ve ailelerin mahremiyetini hiçe sayan içerikler</w:t>
      </w:r>
      <w:r w:rsidR="00F86823">
        <w:rPr>
          <w:rFonts w:asciiTheme="majorHAnsi" w:hAnsiTheme="majorHAnsi" w:cstheme="majorHAnsi"/>
          <w:sz w:val="24"/>
          <w:szCs w:val="24"/>
        </w:rPr>
        <w:t xml:space="preserve">in </w:t>
      </w:r>
      <w:r w:rsidRPr="00BD756D">
        <w:rPr>
          <w:rFonts w:asciiTheme="majorHAnsi" w:hAnsiTheme="majorHAnsi" w:cstheme="majorHAnsi"/>
          <w:sz w:val="24"/>
          <w:szCs w:val="24"/>
        </w:rPr>
        <w:t>hızla yayıl</w:t>
      </w:r>
      <w:r w:rsidR="00F86823">
        <w:rPr>
          <w:rFonts w:asciiTheme="majorHAnsi" w:hAnsiTheme="majorHAnsi" w:cstheme="majorHAnsi"/>
          <w:sz w:val="24"/>
          <w:szCs w:val="24"/>
        </w:rPr>
        <w:t>dığına da dikkat çekilen değerlendirmede, “</w:t>
      </w:r>
      <w:r w:rsidRPr="00BD756D">
        <w:rPr>
          <w:rFonts w:asciiTheme="majorHAnsi" w:hAnsiTheme="majorHAnsi" w:cstheme="majorHAnsi"/>
          <w:sz w:val="24"/>
          <w:szCs w:val="24"/>
        </w:rPr>
        <w:t>Beğeni ve etkileşim uğruna çocukların dijital ortamda teşhir edilmesi, onları ciddi güvenlik ve gelişim riskleriyle karşı karşıya bırakmaktadır.</w:t>
      </w:r>
      <w:r w:rsidR="00F86823">
        <w:rPr>
          <w:rFonts w:asciiTheme="majorHAnsi" w:hAnsiTheme="majorHAnsi" w:cstheme="majorHAnsi"/>
          <w:sz w:val="24"/>
          <w:szCs w:val="24"/>
        </w:rPr>
        <w:t>” denildi.</w:t>
      </w:r>
    </w:p>
    <w:p w14:paraId="21CDA846" w14:textId="58FFEA9B" w:rsidR="00F86823" w:rsidRPr="00F86823" w:rsidRDefault="00F86823" w:rsidP="00F86823">
      <w:pPr>
        <w:jc w:val="both"/>
        <w:rPr>
          <w:rFonts w:asciiTheme="majorHAnsi" w:hAnsiTheme="majorHAnsi" w:cstheme="majorHAnsi"/>
          <w:b/>
          <w:bCs/>
          <w:sz w:val="24"/>
          <w:szCs w:val="24"/>
        </w:rPr>
      </w:pPr>
      <w:r w:rsidRPr="00F86823">
        <w:rPr>
          <w:rFonts w:asciiTheme="majorHAnsi" w:hAnsiTheme="majorHAnsi" w:cstheme="majorHAnsi"/>
          <w:b/>
          <w:bCs/>
          <w:sz w:val="24"/>
          <w:szCs w:val="24"/>
        </w:rPr>
        <w:t>“Aileyi korumak, toplumun geleceğini korumaktır”</w:t>
      </w:r>
    </w:p>
    <w:p w14:paraId="00000019" w14:textId="290FFA84" w:rsidR="00E610A8" w:rsidRPr="00C22F7C" w:rsidRDefault="00F86823">
      <w:pPr>
        <w:jc w:val="both"/>
        <w:rPr>
          <w:rFonts w:asciiTheme="majorHAnsi" w:hAnsiTheme="majorHAnsi" w:cstheme="majorHAnsi"/>
          <w:sz w:val="24"/>
          <w:szCs w:val="24"/>
        </w:rPr>
      </w:pPr>
      <w:r>
        <w:rPr>
          <w:rFonts w:asciiTheme="majorHAnsi" w:hAnsiTheme="majorHAnsi" w:cstheme="majorHAnsi"/>
          <w:sz w:val="24"/>
          <w:szCs w:val="24"/>
        </w:rPr>
        <w:t>Değerlendirmenin sonunda ise, “</w:t>
      </w:r>
      <w:r w:rsidR="00581C55" w:rsidRPr="00BD756D">
        <w:rPr>
          <w:rFonts w:asciiTheme="majorHAnsi" w:hAnsiTheme="majorHAnsi" w:cstheme="majorHAnsi"/>
          <w:sz w:val="24"/>
          <w:szCs w:val="24"/>
        </w:rPr>
        <w:t>Aileyi korumak, yalnızca suçla mücadele etmekten ibaret değildir. Aile mahremiyetini ve çocuklarımızı ekranlardan ve dijital mecralardan yayılan zararlı içeriklerden korumak da bu mücadelenin bir parçasıdır.  Yetkili kurumlar daha etkin ve caydırıcı tedbirler almalı, aileler ve eğitimciler dijital riskler konusunda bilinçlendirilmelidir.</w:t>
      </w:r>
      <w:r>
        <w:rPr>
          <w:rFonts w:asciiTheme="majorHAnsi" w:hAnsiTheme="majorHAnsi" w:cstheme="majorHAnsi"/>
          <w:sz w:val="24"/>
          <w:szCs w:val="24"/>
        </w:rPr>
        <w:t xml:space="preserve"> </w:t>
      </w:r>
      <w:r w:rsidR="00581C55" w:rsidRPr="00BD756D">
        <w:rPr>
          <w:rFonts w:asciiTheme="majorHAnsi" w:hAnsiTheme="majorHAnsi" w:cstheme="majorHAnsi"/>
          <w:sz w:val="24"/>
          <w:szCs w:val="24"/>
        </w:rPr>
        <w:t>Aileyi korumak, toplumun geleceğini korumaktır.</w:t>
      </w:r>
      <w:r w:rsidR="00F65C35">
        <w:rPr>
          <w:rFonts w:asciiTheme="majorHAnsi" w:hAnsiTheme="majorHAnsi" w:cstheme="majorHAnsi"/>
          <w:sz w:val="24"/>
          <w:szCs w:val="24"/>
        </w:rPr>
        <w:t>” vurgusu yapıldı.</w:t>
      </w:r>
    </w:p>
    <w:sectPr w:rsidR="00E610A8" w:rsidRPr="00C22F7C">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embedRegular r:id="rId1" w:fontKey="{F4F684A5-19F7-4B28-A711-B126B382142D}"/>
    <w:embedBold r:id="rId2" w:fontKey="{026BB97F-B94B-4384-8AFE-4592F8722FA9}"/>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3" w:fontKey="{AEA8648C-2144-48EC-B497-5BD3215748B2}"/>
  </w:font>
  <w:font w:name="Cambria">
    <w:panose1 w:val="02040503050406030204"/>
    <w:charset w:val="A2"/>
    <w:family w:val="roman"/>
    <w:pitch w:val="variable"/>
    <w:sig w:usb0="E00006FF" w:usb1="420024FF" w:usb2="02000000" w:usb3="00000000" w:csb0="0000019F" w:csb1="00000000"/>
    <w:embedRegular r:id="rId4" w:fontKey="{41008B79-9A76-4E04-9515-3EA7A2ACE62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0A8"/>
    <w:rsid w:val="00054195"/>
    <w:rsid w:val="0007487E"/>
    <w:rsid w:val="001C3608"/>
    <w:rsid w:val="00203678"/>
    <w:rsid w:val="00211610"/>
    <w:rsid w:val="003231BE"/>
    <w:rsid w:val="003B7D86"/>
    <w:rsid w:val="00424963"/>
    <w:rsid w:val="00581C55"/>
    <w:rsid w:val="0066745E"/>
    <w:rsid w:val="00934214"/>
    <w:rsid w:val="00A3680F"/>
    <w:rsid w:val="00BD756D"/>
    <w:rsid w:val="00BE4E73"/>
    <w:rsid w:val="00C22F7C"/>
    <w:rsid w:val="00C559B5"/>
    <w:rsid w:val="00DD42D8"/>
    <w:rsid w:val="00E228CC"/>
    <w:rsid w:val="00E610A8"/>
    <w:rsid w:val="00F65C35"/>
    <w:rsid w:val="00F86823"/>
    <w:rsid w:val="00FA0EF8"/>
    <w:rsid w:val="00FC6BF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8CE8F"/>
  <w15:docId w15:val="{7D1EEABD-E040-48C3-8E4E-B50FE4826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86823"/>
  </w:style>
  <w:style w:type="paragraph" w:styleId="Balk1">
    <w:name w:val="heading 1"/>
    <w:basedOn w:val="Normal"/>
    <w:next w:val="Normal"/>
    <w:pPr>
      <w:keepNext/>
      <w:keepLines/>
      <w:spacing w:before="480" w:after="120"/>
      <w:outlineLvl w:val="0"/>
    </w:pPr>
    <w:rPr>
      <w:b/>
      <w:bCs/>
      <w:sz w:val="48"/>
      <w:szCs w:val="48"/>
    </w:rPr>
  </w:style>
  <w:style w:type="paragraph" w:styleId="Balk2">
    <w:name w:val="heading 2"/>
    <w:basedOn w:val="Normal"/>
    <w:next w:val="Normal"/>
    <w:pPr>
      <w:keepNext/>
      <w:keepLines/>
      <w:spacing w:before="360" w:after="80"/>
      <w:outlineLvl w:val="1"/>
    </w:pPr>
    <w:rPr>
      <w:b/>
      <w:bCs/>
      <w:sz w:val="36"/>
      <w:szCs w:val="36"/>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character" w:styleId="Kpr">
    <w:name w:val="Hyperlink"/>
    <w:basedOn w:val="VarsaylanParagrafYazTipi"/>
    <w:uiPriority w:val="99"/>
    <w:unhideWhenUsed/>
    <w:rsid w:val="00424963"/>
    <w:rPr>
      <w:color w:val="0000FF" w:themeColor="hyperlink"/>
      <w:u w:val="single"/>
    </w:rPr>
  </w:style>
  <w:style w:type="character" w:customStyle="1" w:styleId="UnresolvedMention">
    <w:name w:val="Unresolved Mention"/>
    <w:basedOn w:val="VarsaylanParagrafYazTipi"/>
    <w:uiPriority w:val="99"/>
    <w:semiHidden/>
    <w:unhideWhenUsed/>
    <w:rsid w:val="004249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2</Pages>
  <Words>876</Words>
  <Characters>4996</Characters>
  <Application>Microsoft Office Word</Application>
  <DocSecurity>0</DocSecurity>
  <Lines>41</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34</cp:revision>
  <dcterms:created xsi:type="dcterms:W3CDTF">2026-10-06T05:51:00Z</dcterms:created>
  <dcterms:modified xsi:type="dcterms:W3CDTF">2026-10-09T13:21:00Z</dcterms:modified>
</cp:coreProperties>
</file>